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rPr>
          <w:rFonts w:hint="eastAsia" w:asciiTheme="majorEastAsia" w:hAnsiTheme="majorEastAsia" w:eastAsiaTheme="majorEastAsia" w:cstheme="majorEastAsia"/>
          <w:b w:val="0"/>
          <w:bCs w:val="0"/>
          <w:sz w:val="18"/>
          <w:szCs w:val="18"/>
        </w:rPr>
      </w:pPr>
      <w:r>
        <w:rPr>
          <w:rFonts w:hint="eastAsia" w:asciiTheme="majorEastAsia" w:hAnsiTheme="majorEastAsia" w:eastAsiaTheme="majorEastAsia" w:cstheme="majorEastAsia"/>
          <w:b w:val="0"/>
          <w:bCs w:val="0"/>
          <w:i w:val="0"/>
          <w:caps w:val="0"/>
          <w:color w:val="000000"/>
          <w:spacing w:val="0"/>
          <w:sz w:val="36"/>
          <w:szCs w:val="36"/>
        </w:rPr>
        <w:t>2016最新融资融券交易实施细则</w:t>
      </w:r>
      <w:bookmarkStart w:id="0" w:name="_GoBack"/>
      <w:bookmarkEnd w:id="0"/>
    </w:p>
    <w:p>
      <w:pPr>
        <w:pStyle w:val="2"/>
        <w:keepNext w:val="0"/>
        <w:keepLines w:val="0"/>
        <w:widowControl/>
        <w:suppressLineNumbers w:val="0"/>
      </w:pPr>
      <w:r>
        <w:rPr>
          <w:sz w:val="18"/>
          <w:szCs w:val="18"/>
        </w:rPr>
        <w:t>第一章 总则</w:t>
      </w:r>
    </w:p>
    <w:p>
      <w:pPr>
        <w:pStyle w:val="2"/>
        <w:keepNext w:val="0"/>
        <w:keepLines w:val="0"/>
        <w:widowControl/>
        <w:suppressLineNumbers w:val="0"/>
      </w:pPr>
      <w:r>
        <w:rPr>
          <w:sz w:val="18"/>
          <w:szCs w:val="18"/>
        </w:rPr>
        <w:t>　　第一条 为规范融资融券交易行为,维护证券市场秩序,保护投资者合法权益,根据《证券公司融资融券业务管理办法》、《上海证券交易所交易规则》和本所相关业务规则,制定本细则。</w:t>
      </w:r>
    </w:p>
    <w:p>
      <w:pPr>
        <w:pStyle w:val="2"/>
        <w:keepNext w:val="0"/>
        <w:keepLines w:val="0"/>
        <w:widowControl/>
        <w:suppressLineNumbers w:val="0"/>
      </w:pPr>
      <w:r>
        <w:rPr>
          <w:sz w:val="18"/>
          <w:szCs w:val="18"/>
        </w:rPr>
        <w:t>　　第二条 本细则所称融资融券交易,是指投资者向具有上海证券交易所(以下简称“本所”)会员资格的证券公司(以下简称“会员”)提供担保物,借入资金买入本所上市证券或借入本所上市证券并卖出的行为。</w:t>
      </w:r>
    </w:p>
    <w:p>
      <w:pPr>
        <w:pStyle w:val="2"/>
        <w:keepNext w:val="0"/>
        <w:keepLines w:val="0"/>
        <w:widowControl/>
        <w:suppressLineNumbers w:val="0"/>
      </w:pPr>
      <w:r>
        <w:rPr>
          <w:sz w:val="18"/>
          <w:szCs w:val="18"/>
        </w:rPr>
        <w:t>　　第三条 在本所进行融资融券交易,适用本细则。本细则未作规定的,适用《上海证券交易所交易规则》和本所其他相关规定。</w:t>
      </w:r>
    </w:p>
    <w:p>
      <w:pPr>
        <w:pStyle w:val="2"/>
        <w:keepNext w:val="0"/>
        <w:keepLines w:val="0"/>
        <w:widowControl/>
        <w:suppressLineNumbers w:val="0"/>
      </w:pPr>
      <w:r>
        <w:rPr>
          <w:sz w:val="18"/>
          <w:szCs w:val="18"/>
        </w:rPr>
        <w:t>　　第二章 业务流程</w:t>
      </w:r>
    </w:p>
    <w:p>
      <w:pPr>
        <w:pStyle w:val="2"/>
        <w:keepNext w:val="0"/>
        <w:keepLines w:val="0"/>
        <w:widowControl/>
        <w:suppressLineNumbers w:val="0"/>
      </w:pPr>
      <w:r>
        <w:rPr>
          <w:sz w:val="18"/>
          <w:szCs w:val="18"/>
        </w:rPr>
        <w:t>　　第四条 本所对融资融券交易实行交易权限管理。会员申请本所融资融券交易权限的,需向本所提交书面申请报告及以下材料：</w:t>
      </w:r>
    </w:p>
    <w:p>
      <w:pPr>
        <w:pStyle w:val="2"/>
        <w:keepNext w:val="0"/>
        <w:keepLines w:val="0"/>
        <w:widowControl/>
        <w:suppressLineNumbers w:val="0"/>
      </w:pPr>
      <w:r>
        <w:rPr>
          <w:sz w:val="18"/>
          <w:szCs w:val="18"/>
        </w:rPr>
        <w:t>　　(一)中国证券监督管理委员会(以下简称“证监会”)颁发的批准从事融资融券业务的《经营证券业务许可证》及其他有关批准文件;</w:t>
      </w:r>
    </w:p>
    <w:p>
      <w:pPr>
        <w:pStyle w:val="2"/>
        <w:keepNext w:val="0"/>
        <w:keepLines w:val="0"/>
        <w:widowControl/>
        <w:suppressLineNumbers w:val="0"/>
      </w:pPr>
      <w:r>
        <w:rPr>
          <w:sz w:val="18"/>
          <w:szCs w:val="18"/>
        </w:rPr>
        <w:t>　　(二)融资融券业务实施方案、内部管理制度的相关文件;</w:t>
      </w:r>
    </w:p>
    <w:p>
      <w:pPr>
        <w:pStyle w:val="2"/>
        <w:keepNext w:val="0"/>
        <w:keepLines w:val="0"/>
        <w:widowControl/>
        <w:suppressLineNumbers w:val="0"/>
      </w:pPr>
      <w:r>
        <w:rPr>
          <w:sz w:val="18"/>
          <w:szCs w:val="18"/>
        </w:rPr>
        <w:t>　　(三)负责融资融券业务的高级管理人员与业务人员名单及其联系方式;</w:t>
      </w:r>
    </w:p>
    <w:p>
      <w:pPr>
        <w:pStyle w:val="2"/>
        <w:keepNext w:val="0"/>
        <w:keepLines w:val="0"/>
        <w:widowControl/>
        <w:suppressLineNumbers w:val="0"/>
      </w:pPr>
      <w:r>
        <w:rPr>
          <w:sz w:val="18"/>
          <w:szCs w:val="18"/>
        </w:rPr>
        <w:t>　　(四)本所要求提交的其他材料。</w:t>
      </w:r>
    </w:p>
    <w:p>
      <w:pPr>
        <w:pStyle w:val="2"/>
        <w:keepNext w:val="0"/>
        <w:keepLines w:val="0"/>
        <w:widowControl/>
        <w:suppressLineNumbers w:val="0"/>
      </w:pPr>
      <w:r>
        <w:rPr>
          <w:sz w:val="18"/>
          <w:szCs w:val="18"/>
        </w:rPr>
        <w:t>　　第五条 会员在本所从事融资融券交易,应按照有关规定开立融券专用证券账户、客户信用交易担保证券账户、融资专用资金账户及客户信用交易担保资金账户,并在开户后3个交易日内报本所备案。</w:t>
      </w:r>
    </w:p>
    <w:p>
      <w:pPr>
        <w:pStyle w:val="2"/>
        <w:keepNext w:val="0"/>
        <w:keepLines w:val="0"/>
        <w:widowControl/>
        <w:suppressLineNumbers w:val="0"/>
      </w:pPr>
      <w:r>
        <w:rPr>
          <w:sz w:val="18"/>
          <w:szCs w:val="18"/>
        </w:rPr>
        <w:t>　　第六条 会员在向客户融资、融券前,应当按照有关规定与客户签订融资融券合同及融资融券交易风险揭示书,并为其开立信用证券账户和信用资金账户。</w:t>
      </w:r>
    </w:p>
    <w:p>
      <w:pPr>
        <w:pStyle w:val="2"/>
        <w:keepNext w:val="0"/>
        <w:keepLines w:val="0"/>
        <w:widowControl/>
        <w:suppressLineNumbers w:val="0"/>
      </w:pPr>
      <w:r>
        <w:rPr>
          <w:sz w:val="18"/>
          <w:szCs w:val="18"/>
        </w:rPr>
        <w:t>　　第七条 投资者通过会员在本所进行融资融券交易,应当按照有关规定选定一家会员为其开立一个信用证券账户。</w:t>
      </w:r>
    </w:p>
    <w:p>
      <w:pPr>
        <w:pStyle w:val="2"/>
        <w:keepNext w:val="0"/>
        <w:keepLines w:val="0"/>
        <w:widowControl/>
        <w:suppressLineNumbers w:val="0"/>
      </w:pPr>
      <w:r>
        <w:rPr>
          <w:sz w:val="18"/>
          <w:szCs w:val="18"/>
        </w:rPr>
        <w:t>　　信用证券账户的开立和注销,根据会员和本所指定登记结算机构的有关规定办理。</w:t>
      </w:r>
    </w:p>
    <w:p>
      <w:pPr>
        <w:pStyle w:val="2"/>
        <w:keepNext w:val="0"/>
        <w:keepLines w:val="0"/>
        <w:widowControl/>
        <w:suppressLineNumbers w:val="0"/>
      </w:pPr>
      <w:r>
        <w:rPr>
          <w:sz w:val="18"/>
          <w:szCs w:val="18"/>
        </w:rPr>
        <w:t>　　会员为客户开立信用证券账户时,应当申报拟指定交易的交易单元号。信用证券账户的指定交易申请由本所委托的指定登记结算机构受理。</w:t>
      </w:r>
    </w:p>
    <w:p>
      <w:pPr>
        <w:pStyle w:val="2"/>
        <w:keepNext w:val="0"/>
        <w:keepLines w:val="0"/>
        <w:widowControl/>
        <w:suppressLineNumbers w:val="0"/>
      </w:pPr>
      <w:r>
        <w:rPr>
          <w:sz w:val="18"/>
          <w:szCs w:val="18"/>
        </w:rPr>
        <w:t>　　第八条 会员被取消融资融券交易权限的,应当根据约定与其客户了结有关融资融券合约,并不得发生新的融资融券交易。</w:t>
      </w:r>
    </w:p>
    <w:p>
      <w:pPr>
        <w:pStyle w:val="2"/>
        <w:keepNext w:val="0"/>
        <w:keepLines w:val="0"/>
        <w:widowControl/>
        <w:suppressLineNumbers w:val="0"/>
      </w:pPr>
      <w:r>
        <w:rPr>
          <w:sz w:val="18"/>
          <w:szCs w:val="18"/>
        </w:rPr>
        <w:t>　　第九条 会员接受客户融资融券交易委托,应当按照本所规定的格式申报,申报指令应包括客户的信用证券账户号码、交易单元代码、证券代码、买卖方向、价格、数量、融资融券标识等内容。</w:t>
      </w:r>
    </w:p>
    <w:p>
      <w:pPr>
        <w:pStyle w:val="2"/>
        <w:keepNext w:val="0"/>
        <w:keepLines w:val="0"/>
        <w:widowControl/>
        <w:suppressLineNumbers w:val="0"/>
      </w:pPr>
      <w:r>
        <w:rPr>
          <w:sz w:val="18"/>
          <w:szCs w:val="18"/>
        </w:rPr>
        <w:t>　　第十条 融资买入、融券卖出的申报数量应当为100股(份)或其整数倍。</w:t>
      </w:r>
    </w:p>
    <w:p>
      <w:pPr>
        <w:pStyle w:val="2"/>
        <w:keepNext w:val="0"/>
        <w:keepLines w:val="0"/>
        <w:widowControl/>
        <w:suppressLineNumbers w:val="0"/>
      </w:pPr>
      <w:r>
        <w:rPr>
          <w:sz w:val="18"/>
          <w:szCs w:val="18"/>
        </w:rPr>
        <w:t>　　第十一条 融券卖出的申报价格不得低于该证券的最新成交价;当天没有产生成交的,申报价格不得低于其前收盘价。低于上述价格的申报为无效申报。</w:t>
      </w:r>
    </w:p>
    <w:p>
      <w:pPr>
        <w:pStyle w:val="2"/>
        <w:keepNext w:val="0"/>
        <w:keepLines w:val="0"/>
        <w:widowControl/>
        <w:suppressLineNumbers w:val="0"/>
      </w:pPr>
      <w:r>
        <w:rPr>
          <w:sz w:val="18"/>
          <w:szCs w:val="18"/>
        </w:rPr>
        <w:t>　　融券期间,投资者通过其所有或控制的证券账户持有与融券卖出标的相同证券的,卖出该证券的价格应遵守前款规定,但超出融券数量的部分除外。</w:t>
      </w:r>
    </w:p>
    <w:p>
      <w:pPr>
        <w:pStyle w:val="2"/>
        <w:keepNext w:val="0"/>
        <w:keepLines w:val="0"/>
        <w:widowControl/>
        <w:suppressLineNumbers w:val="0"/>
      </w:pPr>
      <w:r>
        <w:rPr>
          <w:sz w:val="18"/>
          <w:szCs w:val="18"/>
        </w:rPr>
        <w:t>　　第十二条 本所不接受融券卖出的市价申报。</w:t>
      </w:r>
    </w:p>
    <w:p>
      <w:pPr>
        <w:pStyle w:val="2"/>
        <w:keepNext w:val="0"/>
        <w:keepLines w:val="0"/>
        <w:widowControl/>
        <w:suppressLineNumbers w:val="0"/>
      </w:pPr>
      <w:r>
        <w:rPr>
          <w:sz w:val="18"/>
          <w:szCs w:val="18"/>
        </w:rPr>
        <w:t>　　第十三条 客户融资买入证券后,可通过卖券还款或直接还款的方式向会员偿还融入资金。</w:t>
      </w:r>
    </w:p>
    <w:p>
      <w:pPr>
        <w:pStyle w:val="2"/>
        <w:keepNext w:val="0"/>
        <w:keepLines w:val="0"/>
        <w:widowControl/>
        <w:suppressLineNumbers w:val="0"/>
      </w:pPr>
      <w:r>
        <w:rPr>
          <w:sz w:val="18"/>
          <w:szCs w:val="18"/>
        </w:rPr>
        <w:t>　　卖券还款是指客户通过其信用证券账户申报卖券,结算时卖出证券所得资金直接划转至会员融资专用资金账户的一种还款方式。</w:t>
      </w:r>
    </w:p>
    <w:p>
      <w:pPr>
        <w:pStyle w:val="2"/>
        <w:keepNext w:val="0"/>
        <w:keepLines w:val="0"/>
        <w:widowControl/>
        <w:suppressLineNumbers w:val="0"/>
      </w:pPr>
      <w:r>
        <w:rPr>
          <w:sz w:val="18"/>
          <w:szCs w:val="18"/>
        </w:rPr>
        <w:t>　　以直接还款方式偿还融入资金的,具体操作按照会员与客户之间的约定办理。</w:t>
      </w:r>
    </w:p>
    <w:p>
      <w:pPr>
        <w:pStyle w:val="2"/>
        <w:keepNext w:val="0"/>
        <w:keepLines w:val="0"/>
        <w:widowControl/>
        <w:suppressLineNumbers w:val="0"/>
      </w:pPr>
      <w:r>
        <w:rPr>
          <w:sz w:val="18"/>
          <w:szCs w:val="18"/>
        </w:rPr>
        <w:t>　　第十四条 客户融券卖出后,可通过买券还券或直接还券的方式向会员偿还融入证券。</w:t>
      </w:r>
    </w:p>
    <w:p>
      <w:pPr>
        <w:pStyle w:val="2"/>
        <w:keepNext w:val="0"/>
        <w:keepLines w:val="0"/>
        <w:widowControl/>
        <w:suppressLineNumbers w:val="0"/>
      </w:pPr>
      <w:r>
        <w:rPr>
          <w:sz w:val="18"/>
          <w:szCs w:val="18"/>
        </w:rPr>
        <w:t>　　买券还券是指客户通过其信用证券账户申报买券,结算时买入证券直接划转至会员融券专用证券账户的一种还券方式。</w:t>
      </w:r>
    </w:p>
    <w:p>
      <w:pPr>
        <w:pStyle w:val="2"/>
        <w:keepNext w:val="0"/>
        <w:keepLines w:val="0"/>
        <w:widowControl/>
        <w:suppressLineNumbers w:val="0"/>
      </w:pPr>
      <w:r>
        <w:rPr>
          <w:sz w:val="18"/>
          <w:szCs w:val="18"/>
        </w:rPr>
        <w:t>　　以直接还券方式偿还融入证券的,按照会员与客户之间约定以及本所指定登记结算机构的有关规定办理。</w:t>
      </w:r>
    </w:p>
    <w:p>
      <w:pPr>
        <w:pStyle w:val="2"/>
        <w:keepNext w:val="0"/>
        <w:keepLines w:val="0"/>
        <w:widowControl/>
        <w:suppressLineNumbers w:val="0"/>
      </w:pPr>
      <w:r>
        <w:rPr>
          <w:sz w:val="18"/>
          <w:szCs w:val="18"/>
        </w:rPr>
        <w:t>　　第十五条 投资者卖出信用证券账户内融资买入尚未了结合约的证券所得价款,须先偿还该投资者的融资欠款。</w:t>
      </w:r>
    </w:p>
    <w:p>
      <w:pPr>
        <w:pStyle w:val="2"/>
        <w:keepNext w:val="0"/>
        <w:keepLines w:val="0"/>
        <w:widowControl/>
        <w:suppressLineNumbers w:val="0"/>
      </w:pPr>
      <w:r>
        <w:rPr>
          <w:sz w:val="18"/>
          <w:szCs w:val="18"/>
        </w:rPr>
        <w:t>　　第十六条 未了结相关融券交易前,投资者融券卖出所得价款除买券还券外不得他用。</w:t>
      </w:r>
    </w:p>
    <w:p>
      <w:pPr>
        <w:pStyle w:val="2"/>
        <w:keepNext w:val="0"/>
        <w:keepLines w:val="0"/>
        <w:widowControl/>
        <w:suppressLineNumbers w:val="0"/>
      </w:pPr>
      <w:r>
        <w:rPr>
          <w:sz w:val="18"/>
          <w:szCs w:val="18"/>
        </w:rPr>
        <w:t>　　第十七条 会员与客户约定的融资、融券期限自客户实际使用资金或使用证券之日起计算,融资、融券期限最长不得超过6个月。</w:t>
      </w:r>
    </w:p>
    <w:p>
      <w:pPr>
        <w:pStyle w:val="2"/>
        <w:keepNext w:val="0"/>
        <w:keepLines w:val="0"/>
        <w:widowControl/>
        <w:suppressLineNumbers w:val="0"/>
      </w:pPr>
      <w:r>
        <w:rPr>
          <w:sz w:val="18"/>
          <w:szCs w:val="18"/>
        </w:rPr>
        <w:t>　　第十八条 会员融券专用证券账户不得用于证券买卖。</w:t>
      </w:r>
    </w:p>
    <w:p>
      <w:pPr>
        <w:pStyle w:val="2"/>
        <w:keepNext w:val="0"/>
        <w:keepLines w:val="0"/>
        <w:widowControl/>
        <w:suppressLineNumbers w:val="0"/>
      </w:pPr>
      <w:r>
        <w:rPr>
          <w:sz w:val="18"/>
          <w:szCs w:val="18"/>
        </w:rPr>
        <w:t>　　第十九条 投资者信用证券账户不得买入或转入除可充抵保证金证券范围以外的证券,也不得用于参与定向增发、证券投资基金申购及赎回、债券回购交易等。</w:t>
      </w:r>
    </w:p>
    <w:p>
      <w:pPr>
        <w:pStyle w:val="2"/>
        <w:keepNext w:val="0"/>
        <w:keepLines w:val="0"/>
        <w:widowControl/>
        <w:suppressLineNumbers w:val="0"/>
      </w:pPr>
      <w:r>
        <w:rPr>
          <w:sz w:val="18"/>
          <w:szCs w:val="18"/>
        </w:rPr>
        <w:t>　　第二十条 融资融券暂不采用大宗交易方式。</w:t>
      </w:r>
    </w:p>
    <w:p>
      <w:pPr>
        <w:pStyle w:val="2"/>
        <w:keepNext w:val="0"/>
        <w:keepLines w:val="0"/>
        <w:widowControl/>
        <w:suppressLineNumbers w:val="0"/>
      </w:pPr>
      <w:r>
        <w:rPr>
          <w:sz w:val="18"/>
          <w:szCs w:val="18"/>
        </w:rPr>
        <w:t>　　第二十一条 投资者未能按期交足担保物或者到期未偿还融资融券债务的,会员应当根据约定采取强制平仓措施,处分客户担保物,不足部分可以向客户追索。</w:t>
      </w:r>
    </w:p>
    <w:p>
      <w:pPr>
        <w:pStyle w:val="2"/>
        <w:keepNext w:val="0"/>
        <w:keepLines w:val="0"/>
        <w:widowControl/>
        <w:suppressLineNumbers w:val="0"/>
      </w:pPr>
      <w:r>
        <w:rPr>
          <w:sz w:val="18"/>
          <w:szCs w:val="18"/>
        </w:rPr>
        <w:t>　　第二十二条 会员根据与客户的约定采取强制平仓措施的,应按照本所规定的格式申报强制平仓指令,申报指令应包括客户的信用证券账户号码、交易单元代码、证券代码、买卖方向、价格、数量、平仓标识等内容。</w:t>
      </w:r>
    </w:p>
    <w:p>
      <w:pPr>
        <w:pStyle w:val="2"/>
        <w:keepNext w:val="0"/>
        <w:keepLines w:val="0"/>
        <w:widowControl/>
        <w:suppressLineNumbers w:val="0"/>
      </w:pPr>
      <w:r>
        <w:rPr>
          <w:sz w:val="18"/>
          <w:szCs w:val="18"/>
        </w:rPr>
        <w:t>　　第三章 标的证券</w:t>
      </w:r>
    </w:p>
    <w:p>
      <w:pPr>
        <w:pStyle w:val="2"/>
        <w:keepNext w:val="0"/>
        <w:keepLines w:val="0"/>
        <w:widowControl/>
        <w:suppressLineNumbers w:val="0"/>
      </w:pPr>
      <w:r>
        <w:rPr>
          <w:sz w:val="18"/>
          <w:szCs w:val="18"/>
        </w:rPr>
        <w:t>　　第二十三条 在本所上市交易的下列证券,经本所认可,可作为融资买入或融券卖出的标的证券(以下简称“标的证券”)：</w:t>
      </w:r>
    </w:p>
    <w:p>
      <w:pPr>
        <w:pStyle w:val="2"/>
        <w:keepNext w:val="0"/>
        <w:keepLines w:val="0"/>
        <w:widowControl/>
        <w:suppressLineNumbers w:val="0"/>
      </w:pPr>
      <w:r>
        <w:rPr>
          <w:sz w:val="18"/>
          <w:szCs w:val="18"/>
        </w:rPr>
        <w:t>　　(一)符合本细则第二十四条规定的股票;</w:t>
      </w:r>
    </w:p>
    <w:p>
      <w:pPr>
        <w:pStyle w:val="2"/>
        <w:keepNext w:val="0"/>
        <w:keepLines w:val="0"/>
        <w:widowControl/>
        <w:suppressLineNumbers w:val="0"/>
      </w:pPr>
      <w:r>
        <w:rPr>
          <w:sz w:val="18"/>
          <w:szCs w:val="18"/>
        </w:rPr>
        <w:t>　　(二)证券投资基金;</w:t>
      </w:r>
    </w:p>
    <w:p>
      <w:pPr>
        <w:pStyle w:val="2"/>
        <w:keepNext w:val="0"/>
        <w:keepLines w:val="0"/>
        <w:widowControl/>
        <w:suppressLineNumbers w:val="0"/>
      </w:pPr>
      <w:r>
        <w:rPr>
          <w:sz w:val="18"/>
          <w:szCs w:val="18"/>
        </w:rPr>
        <w:t>　　(三)债券;</w:t>
      </w:r>
    </w:p>
    <w:p>
      <w:pPr>
        <w:pStyle w:val="2"/>
        <w:keepNext w:val="0"/>
        <w:keepLines w:val="0"/>
        <w:widowControl/>
        <w:suppressLineNumbers w:val="0"/>
      </w:pPr>
      <w:r>
        <w:rPr>
          <w:sz w:val="18"/>
          <w:szCs w:val="18"/>
        </w:rPr>
        <w:t>　　(四)其他证券。</w:t>
      </w:r>
    </w:p>
    <w:p>
      <w:pPr>
        <w:pStyle w:val="2"/>
        <w:keepNext w:val="0"/>
        <w:keepLines w:val="0"/>
        <w:widowControl/>
        <w:suppressLineNumbers w:val="0"/>
      </w:pPr>
      <w:r>
        <w:rPr>
          <w:sz w:val="18"/>
          <w:szCs w:val="18"/>
        </w:rPr>
        <w:t>　　第二十四条 标的证券为股票的,应当符合下列条件：</w:t>
      </w:r>
    </w:p>
    <w:p>
      <w:pPr>
        <w:pStyle w:val="2"/>
        <w:keepNext w:val="0"/>
        <w:keepLines w:val="0"/>
        <w:widowControl/>
        <w:suppressLineNumbers w:val="0"/>
      </w:pPr>
      <w:r>
        <w:rPr>
          <w:sz w:val="18"/>
          <w:szCs w:val="18"/>
        </w:rPr>
        <w:t>　　(一)在本所上市交易超过3个月;</w:t>
      </w:r>
    </w:p>
    <w:p>
      <w:pPr>
        <w:pStyle w:val="2"/>
        <w:keepNext w:val="0"/>
        <w:keepLines w:val="0"/>
        <w:widowControl/>
        <w:suppressLineNumbers w:val="0"/>
      </w:pPr>
      <w:r>
        <w:rPr>
          <w:sz w:val="18"/>
          <w:szCs w:val="18"/>
        </w:rPr>
        <w:t>　　(二)融资买入标的股票的流通股本不少于1亿股或流通市值不低于5亿元,融券卖出标的股票的流通股本不少于2亿股或流通市值不低于8亿元;</w:t>
      </w:r>
    </w:p>
    <w:p>
      <w:pPr>
        <w:pStyle w:val="2"/>
        <w:keepNext w:val="0"/>
        <w:keepLines w:val="0"/>
        <w:widowControl/>
        <w:suppressLineNumbers w:val="0"/>
      </w:pPr>
      <w:r>
        <w:rPr>
          <w:sz w:val="18"/>
          <w:szCs w:val="18"/>
        </w:rPr>
        <w:t>　　(三)股东人数不少于4000人;</w:t>
      </w:r>
    </w:p>
    <w:p>
      <w:pPr>
        <w:pStyle w:val="2"/>
        <w:keepNext w:val="0"/>
        <w:keepLines w:val="0"/>
        <w:widowControl/>
        <w:suppressLineNumbers w:val="0"/>
      </w:pPr>
      <w:r>
        <w:rPr>
          <w:sz w:val="18"/>
          <w:szCs w:val="18"/>
        </w:rPr>
        <w:t>　　(四)在过去3个月内没有出现下列情形之一：</w:t>
      </w:r>
    </w:p>
    <w:p>
      <w:pPr>
        <w:pStyle w:val="2"/>
        <w:keepNext w:val="0"/>
        <w:keepLines w:val="0"/>
        <w:widowControl/>
        <w:suppressLineNumbers w:val="0"/>
      </w:pPr>
      <w:r>
        <w:rPr>
          <w:sz w:val="18"/>
          <w:szCs w:val="18"/>
        </w:rPr>
        <w:t>　　1、日均换手率低于基准指数日均换手率的15%,且日均成交金额小于5000万元;</w:t>
      </w:r>
    </w:p>
    <w:p>
      <w:pPr>
        <w:pStyle w:val="2"/>
        <w:keepNext w:val="0"/>
        <w:keepLines w:val="0"/>
        <w:widowControl/>
        <w:suppressLineNumbers w:val="0"/>
      </w:pPr>
      <w:r>
        <w:rPr>
          <w:sz w:val="18"/>
          <w:szCs w:val="18"/>
        </w:rPr>
        <w:t>　　2、日均涨跌幅平均值与基准指数涨跌幅平均值的偏离值超过4%;</w:t>
      </w:r>
    </w:p>
    <w:p>
      <w:pPr>
        <w:pStyle w:val="2"/>
        <w:keepNext w:val="0"/>
        <w:keepLines w:val="0"/>
        <w:widowControl/>
        <w:suppressLineNumbers w:val="0"/>
      </w:pPr>
      <w:r>
        <w:rPr>
          <w:sz w:val="18"/>
          <w:szCs w:val="18"/>
        </w:rPr>
        <w:t>　　3、波动幅度达到基准指数波动幅度的5倍以上。</w:t>
      </w:r>
    </w:p>
    <w:p>
      <w:pPr>
        <w:pStyle w:val="2"/>
        <w:keepNext w:val="0"/>
        <w:keepLines w:val="0"/>
        <w:widowControl/>
        <w:suppressLineNumbers w:val="0"/>
      </w:pPr>
      <w:r>
        <w:rPr>
          <w:sz w:val="18"/>
          <w:szCs w:val="18"/>
        </w:rPr>
        <w:t>　　(五)股票发行公司已完成股权分置改革;</w:t>
      </w:r>
    </w:p>
    <w:p>
      <w:pPr>
        <w:pStyle w:val="2"/>
        <w:keepNext w:val="0"/>
        <w:keepLines w:val="0"/>
        <w:widowControl/>
        <w:suppressLineNumbers w:val="0"/>
      </w:pPr>
      <w:r>
        <w:rPr>
          <w:sz w:val="18"/>
          <w:szCs w:val="18"/>
        </w:rPr>
        <w:t>　　(六)股票交易未被本所实行特别处理;</w:t>
      </w:r>
    </w:p>
    <w:p>
      <w:pPr>
        <w:pStyle w:val="2"/>
        <w:keepNext w:val="0"/>
        <w:keepLines w:val="0"/>
        <w:widowControl/>
        <w:suppressLineNumbers w:val="0"/>
      </w:pPr>
      <w:r>
        <w:rPr>
          <w:sz w:val="18"/>
          <w:szCs w:val="18"/>
        </w:rPr>
        <w:t>　　(七)本所规定的其他条件。</w:t>
      </w:r>
    </w:p>
    <w:p>
      <w:pPr>
        <w:pStyle w:val="2"/>
        <w:keepNext w:val="0"/>
        <w:keepLines w:val="0"/>
        <w:widowControl/>
        <w:suppressLineNumbers w:val="0"/>
      </w:pPr>
      <w:r>
        <w:rPr>
          <w:sz w:val="18"/>
          <w:szCs w:val="18"/>
        </w:rPr>
        <w:t>　　第二十五条 标的证券为交易所交易型开放式指数基金的,应当符合下列条件：</w:t>
      </w:r>
    </w:p>
    <w:p>
      <w:pPr>
        <w:pStyle w:val="2"/>
        <w:keepNext w:val="0"/>
        <w:keepLines w:val="0"/>
        <w:widowControl/>
        <w:suppressLineNumbers w:val="0"/>
      </w:pPr>
      <w:r>
        <w:rPr>
          <w:sz w:val="18"/>
          <w:szCs w:val="18"/>
        </w:rPr>
        <w:t>　　(一)上市交易超过三个月;</w:t>
      </w:r>
    </w:p>
    <w:p>
      <w:pPr>
        <w:pStyle w:val="2"/>
        <w:keepNext w:val="0"/>
        <w:keepLines w:val="0"/>
        <w:widowControl/>
        <w:suppressLineNumbers w:val="0"/>
      </w:pPr>
      <w:r>
        <w:rPr>
          <w:sz w:val="18"/>
          <w:szCs w:val="18"/>
        </w:rPr>
        <w:t>　　(二)近三个月内的日平均资产规模不低于20亿元;</w:t>
      </w:r>
    </w:p>
    <w:p>
      <w:pPr>
        <w:pStyle w:val="2"/>
        <w:keepNext w:val="0"/>
        <w:keepLines w:val="0"/>
        <w:widowControl/>
        <w:suppressLineNumbers w:val="0"/>
      </w:pPr>
      <w:r>
        <w:rPr>
          <w:sz w:val="18"/>
          <w:szCs w:val="18"/>
        </w:rPr>
        <w:t>　　(三)基金持有户数不少于4000户。</w:t>
      </w:r>
    </w:p>
    <w:p>
      <w:pPr>
        <w:pStyle w:val="2"/>
        <w:keepNext w:val="0"/>
        <w:keepLines w:val="0"/>
        <w:widowControl/>
        <w:suppressLineNumbers w:val="0"/>
      </w:pPr>
      <w:r>
        <w:rPr>
          <w:sz w:val="18"/>
          <w:szCs w:val="18"/>
        </w:rPr>
        <w:t>　　本所另有规定的除外。</w:t>
      </w:r>
    </w:p>
    <w:p>
      <w:pPr>
        <w:pStyle w:val="2"/>
        <w:keepNext w:val="0"/>
        <w:keepLines w:val="0"/>
        <w:widowControl/>
        <w:suppressLineNumbers w:val="0"/>
      </w:pPr>
      <w:r>
        <w:rPr>
          <w:sz w:val="18"/>
          <w:szCs w:val="18"/>
        </w:rPr>
        <w:t>　　第二十六条 本所按照从严到宽、从少到多、逐步扩大的原则,从满足本细则规定的证券范围内选取和确定标的证券的名单,并向市场公布。</w:t>
      </w:r>
    </w:p>
    <w:p>
      <w:pPr>
        <w:pStyle w:val="2"/>
        <w:keepNext w:val="0"/>
        <w:keepLines w:val="0"/>
        <w:widowControl/>
        <w:suppressLineNumbers w:val="0"/>
      </w:pPr>
      <w:r>
        <w:rPr>
          <w:sz w:val="18"/>
          <w:szCs w:val="18"/>
        </w:rPr>
        <w:t>　　本所可根据市场情况调整标的证券的选择标准和名单。</w:t>
      </w:r>
    </w:p>
    <w:p>
      <w:pPr>
        <w:pStyle w:val="2"/>
        <w:keepNext w:val="0"/>
        <w:keepLines w:val="0"/>
        <w:widowControl/>
        <w:suppressLineNumbers w:val="0"/>
      </w:pPr>
      <w:r>
        <w:rPr>
          <w:sz w:val="18"/>
          <w:szCs w:val="18"/>
        </w:rPr>
        <w:t>　　第二十七条 会员向其客户公布的标的证券名单,不得超出本所公布的标的证券范围。</w:t>
      </w:r>
    </w:p>
    <w:p>
      <w:pPr>
        <w:pStyle w:val="2"/>
        <w:keepNext w:val="0"/>
        <w:keepLines w:val="0"/>
        <w:widowControl/>
        <w:suppressLineNumbers w:val="0"/>
      </w:pPr>
      <w:r>
        <w:rPr>
          <w:sz w:val="18"/>
          <w:szCs w:val="18"/>
        </w:rPr>
        <w:t>　　第二十八条 标的证券暂停交易,会员与其客户可以根据双方约定了结相关融资融券合约。</w:t>
      </w:r>
    </w:p>
    <w:p>
      <w:pPr>
        <w:pStyle w:val="2"/>
        <w:keepNext w:val="0"/>
        <w:keepLines w:val="0"/>
        <w:widowControl/>
        <w:suppressLineNumbers w:val="0"/>
      </w:pPr>
      <w:r>
        <w:rPr>
          <w:sz w:val="18"/>
          <w:szCs w:val="18"/>
        </w:rPr>
        <w:t>　　标的证券暂停交易,且恢复交易日在融资融券债务到期日之后的,融资融券的期限可以顺延,顺延的具体期限由会员与其客户自行约定。</w:t>
      </w:r>
    </w:p>
    <w:p>
      <w:pPr>
        <w:pStyle w:val="2"/>
        <w:keepNext w:val="0"/>
        <w:keepLines w:val="0"/>
        <w:widowControl/>
        <w:suppressLineNumbers w:val="0"/>
      </w:pPr>
      <w:r>
        <w:rPr>
          <w:sz w:val="18"/>
          <w:szCs w:val="18"/>
        </w:rPr>
        <w:t>　　第二十九条 标的股票交易被实施特别处理的,本所自该股票被实施特别处理当日起将其调整出标的证券范围。</w:t>
      </w:r>
    </w:p>
    <w:p>
      <w:pPr>
        <w:pStyle w:val="2"/>
        <w:keepNext w:val="0"/>
        <w:keepLines w:val="0"/>
        <w:widowControl/>
        <w:suppressLineNumbers w:val="0"/>
      </w:pPr>
      <w:r>
        <w:rPr>
          <w:sz w:val="18"/>
          <w:szCs w:val="18"/>
        </w:rPr>
        <w:t>　　第三十条 标的证券进入终止上市程序的,本所自发行人作出相关公告当日起将其调整出标的证券范围。</w:t>
      </w:r>
    </w:p>
    <w:p>
      <w:pPr>
        <w:pStyle w:val="2"/>
        <w:keepNext w:val="0"/>
        <w:keepLines w:val="0"/>
        <w:widowControl/>
        <w:suppressLineNumbers w:val="0"/>
      </w:pPr>
      <w:r>
        <w:rPr>
          <w:sz w:val="18"/>
          <w:szCs w:val="18"/>
        </w:rPr>
        <w:t>　　第三十一条 证券被调整出标的证券范围的,在调整实施前未了结的融资融券合同仍然有效。会员与其客户可以根据双方约定提前了结相关融资融券合约。</w:t>
      </w:r>
    </w:p>
    <w:p>
      <w:pPr>
        <w:pStyle w:val="2"/>
        <w:keepNext w:val="0"/>
        <w:keepLines w:val="0"/>
        <w:widowControl/>
        <w:suppressLineNumbers w:val="0"/>
      </w:pPr>
      <w:r>
        <w:rPr>
          <w:sz w:val="18"/>
          <w:szCs w:val="18"/>
        </w:rPr>
        <w:t>　　第四章 保证金和担保物</w:t>
      </w:r>
    </w:p>
    <w:p>
      <w:pPr>
        <w:pStyle w:val="2"/>
        <w:keepNext w:val="0"/>
        <w:keepLines w:val="0"/>
        <w:widowControl/>
        <w:suppressLineNumbers w:val="0"/>
      </w:pPr>
      <w:r>
        <w:rPr>
          <w:sz w:val="18"/>
          <w:szCs w:val="18"/>
        </w:rPr>
        <w:t>　　第三十二条 会员向客户融资、融券,应当向客户收取一定比例的保证金。保证金可以标的证券以及本所认可的其他证券充抵。</w:t>
      </w:r>
    </w:p>
    <w:p>
      <w:pPr>
        <w:pStyle w:val="2"/>
        <w:keepNext w:val="0"/>
        <w:keepLines w:val="0"/>
        <w:widowControl/>
        <w:suppressLineNumbers w:val="0"/>
      </w:pPr>
      <w:r>
        <w:rPr>
          <w:sz w:val="18"/>
          <w:szCs w:val="18"/>
        </w:rPr>
        <w:t>　　第三十三条 可充抵保证金的证券,在计算保证金金额时应当以证券市值或净值按下列折算率进行折算：</w:t>
      </w:r>
    </w:p>
    <w:p>
      <w:pPr>
        <w:pStyle w:val="2"/>
        <w:keepNext w:val="0"/>
        <w:keepLines w:val="0"/>
        <w:widowControl/>
        <w:suppressLineNumbers w:val="0"/>
      </w:pPr>
      <w:r>
        <w:rPr>
          <w:sz w:val="18"/>
          <w:szCs w:val="18"/>
        </w:rPr>
        <w:t>　　(一)上证180指数成份股股票折算率最高不超过70%,其他A股股票折算率最高不超过65%,被实行特别处理和被暂停上市的A股股票的折算率为0%;</w:t>
      </w:r>
    </w:p>
    <w:p>
      <w:pPr>
        <w:pStyle w:val="2"/>
        <w:keepNext w:val="0"/>
        <w:keepLines w:val="0"/>
        <w:widowControl/>
        <w:suppressLineNumbers w:val="0"/>
      </w:pPr>
      <w:r>
        <w:rPr>
          <w:sz w:val="18"/>
          <w:szCs w:val="18"/>
        </w:rPr>
        <w:t>　　(二)交易所交易型开放式指数基金折算率最高不超过90%;</w:t>
      </w:r>
    </w:p>
    <w:p>
      <w:pPr>
        <w:pStyle w:val="2"/>
        <w:keepNext w:val="0"/>
        <w:keepLines w:val="0"/>
        <w:widowControl/>
        <w:suppressLineNumbers w:val="0"/>
      </w:pPr>
      <w:r>
        <w:rPr>
          <w:sz w:val="18"/>
          <w:szCs w:val="18"/>
        </w:rPr>
        <w:t>　　(三)国债折算率最高不超过95%;</w:t>
      </w:r>
    </w:p>
    <w:p>
      <w:pPr>
        <w:pStyle w:val="2"/>
        <w:keepNext w:val="0"/>
        <w:keepLines w:val="0"/>
        <w:widowControl/>
        <w:suppressLineNumbers w:val="0"/>
      </w:pPr>
      <w:r>
        <w:rPr>
          <w:sz w:val="18"/>
          <w:szCs w:val="18"/>
        </w:rPr>
        <w:t>　　(四)其他上市证券投资基金和债券折算率最高不超过80%;</w:t>
      </w:r>
    </w:p>
    <w:p>
      <w:pPr>
        <w:pStyle w:val="2"/>
        <w:keepNext w:val="0"/>
        <w:keepLines w:val="0"/>
        <w:widowControl/>
        <w:suppressLineNumbers w:val="0"/>
      </w:pPr>
      <w:r>
        <w:rPr>
          <w:sz w:val="18"/>
          <w:szCs w:val="18"/>
        </w:rPr>
        <w:t>　　(五)权证折算率为0%。</w:t>
      </w:r>
    </w:p>
    <w:p>
      <w:pPr>
        <w:pStyle w:val="2"/>
        <w:keepNext w:val="0"/>
        <w:keepLines w:val="0"/>
        <w:widowControl/>
        <w:suppressLineNumbers w:val="0"/>
      </w:pPr>
      <w:r>
        <w:rPr>
          <w:sz w:val="18"/>
          <w:szCs w:val="18"/>
        </w:rPr>
        <w:t>　　第三十四条 本所遵循审慎原则,审核、选取并确定可充抵保证金证券的名单,并向市场公布。</w:t>
      </w:r>
    </w:p>
    <w:p>
      <w:pPr>
        <w:pStyle w:val="2"/>
        <w:keepNext w:val="0"/>
        <w:keepLines w:val="0"/>
        <w:widowControl/>
        <w:suppressLineNumbers w:val="0"/>
      </w:pPr>
      <w:r>
        <w:rPr>
          <w:sz w:val="18"/>
          <w:szCs w:val="18"/>
        </w:rPr>
        <w:t>　　本所可以根据市场情况调整可充抵保证金证券的名单和折算率。</w:t>
      </w:r>
    </w:p>
    <w:p>
      <w:pPr>
        <w:pStyle w:val="2"/>
        <w:keepNext w:val="0"/>
        <w:keepLines w:val="0"/>
        <w:widowControl/>
        <w:suppressLineNumbers w:val="0"/>
      </w:pPr>
      <w:r>
        <w:rPr>
          <w:sz w:val="18"/>
          <w:szCs w:val="18"/>
        </w:rPr>
        <w:t>　　第三十五条 会员公布的可充抵保证金证券的名单,不得超出本所公布的可充抵保证金证券范围。</w:t>
      </w:r>
    </w:p>
    <w:p>
      <w:pPr>
        <w:pStyle w:val="2"/>
        <w:keepNext w:val="0"/>
        <w:keepLines w:val="0"/>
        <w:widowControl/>
        <w:suppressLineNumbers w:val="0"/>
      </w:pPr>
      <w:r>
        <w:rPr>
          <w:sz w:val="18"/>
          <w:szCs w:val="18"/>
        </w:rPr>
        <w:t>　　会员可以根据流动性、波动性等指标对可充抵保证金的各类证券确定不同的折算率。</w:t>
      </w:r>
    </w:p>
    <w:p>
      <w:pPr>
        <w:pStyle w:val="2"/>
        <w:keepNext w:val="0"/>
        <w:keepLines w:val="0"/>
        <w:widowControl/>
        <w:suppressLineNumbers w:val="0"/>
      </w:pPr>
      <w:r>
        <w:rPr>
          <w:sz w:val="18"/>
          <w:szCs w:val="18"/>
        </w:rPr>
        <w:t>　　会员公布的可充抵保证金证券的折算率,不得高于本所规定的标准。</w:t>
      </w:r>
    </w:p>
    <w:p>
      <w:pPr>
        <w:pStyle w:val="2"/>
        <w:keepNext w:val="0"/>
        <w:keepLines w:val="0"/>
        <w:widowControl/>
        <w:suppressLineNumbers w:val="0"/>
      </w:pPr>
      <w:r>
        <w:rPr>
          <w:sz w:val="18"/>
          <w:szCs w:val="18"/>
        </w:rPr>
        <w:t>　　第三十六条 投资者融资买入证券时,融资保证金比例不得低于50%。</w:t>
      </w:r>
    </w:p>
    <w:p>
      <w:pPr>
        <w:pStyle w:val="2"/>
        <w:keepNext w:val="0"/>
        <w:keepLines w:val="0"/>
        <w:widowControl/>
        <w:suppressLineNumbers w:val="0"/>
      </w:pPr>
      <w:r>
        <w:rPr>
          <w:sz w:val="18"/>
          <w:szCs w:val="18"/>
        </w:rPr>
        <w:t>　　融资保证金比例是指投资者融资买入时交付的保证金与融资交易金额的比例,计算公式为：</w:t>
      </w:r>
    </w:p>
    <w:p>
      <w:pPr>
        <w:pStyle w:val="2"/>
        <w:keepNext w:val="0"/>
        <w:keepLines w:val="0"/>
        <w:widowControl/>
        <w:suppressLineNumbers w:val="0"/>
      </w:pPr>
      <w:r>
        <w:rPr>
          <w:sz w:val="18"/>
          <w:szCs w:val="18"/>
        </w:rPr>
        <w:t>　　融资保证金比例=保证金/(融资买入证券数量×买入价格)×100%</w:t>
      </w:r>
    </w:p>
    <w:p>
      <w:pPr>
        <w:pStyle w:val="2"/>
        <w:keepNext w:val="0"/>
        <w:keepLines w:val="0"/>
        <w:widowControl/>
        <w:suppressLineNumbers w:val="0"/>
      </w:pPr>
      <w:r>
        <w:rPr>
          <w:sz w:val="18"/>
          <w:szCs w:val="18"/>
        </w:rPr>
        <w:t>　　第三十七条 投资者融券卖出时,融券保证金比例不得低于50%。</w:t>
      </w:r>
    </w:p>
    <w:p>
      <w:pPr>
        <w:pStyle w:val="2"/>
        <w:keepNext w:val="0"/>
        <w:keepLines w:val="0"/>
        <w:widowControl/>
        <w:suppressLineNumbers w:val="0"/>
      </w:pPr>
      <w:r>
        <w:rPr>
          <w:sz w:val="18"/>
          <w:szCs w:val="18"/>
        </w:rPr>
        <w:t>　　融券保证金比例是指投资者融券卖出时交付的保证金与融券交易金额的比例,计算公式为：</w:t>
      </w:r>
    </w:p>
    <w:p>
      <w:pPr>
        <w:pStyle w:val="2"/>
        <w:keepNext w:val="0"/>
        <w:keepLines w:val="0"/>
        <w:widowControl/>
        <w:suppressLineNumbers w:val="0"/>
      </w:pPr>
      <w:r>
        <w:rPr>
          <w:sz w:val="18"/>
          <w:szCs w:val="18"/>
        </w:rPr>
        <w:t>　　融券保证金比例=保证金/(融券卖出证券数量×卖出价格)×100%</w:t>
      </w:r>
    </w:p>
    <w:p>
      <w:pPr>
        <w:pStyle w:val="2"/>
        <w:keepNext w:val="0"/>
        <w:keepLines w:val="0"/>
        <w:widowControl/>
        <w:suppressLineNumbers w:val="0"/>
      </w:pPr>
      <w:r>
        <w:rPr>
          <w:sz w:val="18"/>
          <w:szCs w:val="18"/>
        </w:rPr>
        <w:t>　　第三十八条 投资者融资买入或融券卖出时所使用的保证金不得超过其保证金可用余额。</w:t>
      </w:r>
    </w:p>
    <w:p>
      <w:pPr>
        <w:pStyle w:val="2"/>
        <w:keepNext w:val="0"/>
        <w:keepLines w:val="0"/>
        <w:widowControl/>
        <w:suppressLineNumbers w:val="0"/>
      </w:pPr>
      <w:r>
        <w:rPr>
          <w:sz w:val="18"/>
          <w:szCs w:val="18"/>
        </w:rPr>
        <w:t>　　保证金可用余额是指投资者用于充抵保证金的现金、证券市值及融资融券交易产生的浮盈经折算后形成的保证金总额,减去投资者未了结融资融券交易已占用保证金和相关利息、费用的余额。其计算公式为：</w:t>
      </w:r>
    </w:p>
    <w:p>
      <w:pPr>
        <w:pStyle w:val="2"/>
        <w:keepNext w:val="0"/>
        <w:keepLines w:val="0"/>
        <w:widowControl/>
        <w:suppressLineNumbers w:val="0"/>
      </w:pPr>
      <w:r>
        <w:rPr>
          <w:sz w:val="18"/>
          <w:szCs w:val="18"/>
        </w:rPr>
        <w:t>　　保证金可用余额=现金+∑(可充抵保证金的证券市值×折算率)+∑[(融资买入证券市值-融资买入金额)×折算率]+∑[(融券卖出金额-融券卖出证券市值)×折算率]-∑融券卖出金额-∑融资买入证券金额×融资保证金比例-∑融券卖出证券市值×融券保证金比例-利息及费用</w:t>
      </w:r>
    </w:p>
    <w:p>
      <w:pPr>
        <w:pStyle w:val="2"/>
        <w:keepNext w:val="0"/>
        <w:keepLines w:val="0"/>
        <w:widowControl/>
        <w:suppressLineNumbers w:val="0"/>
      </w:pPr>
      <w:r>
        <w:rPr>
          <w:sz w:val="18"/>
          <w:szCs w:val="18"/>
        </w:rPr>
        <w:t>　　公式中,融券卖出金额=融券卖出证券的数量×卖出价格,融券卖出证券市值=融券卖出证券数量×市价,融券卖出证券数量指融券卖出后尚未偿还的证券数量;∑[(融资买入证券市值-融资买入金额)×折算率]、∑[(融券卖出金额-融券卖出证券市值)×折算率]中的折算率是指融资买入、融券卖出证券对应的折算率,当融资买入证券市值低于融资买入金额或融券卖出证券市值高于融券卖出金额时,折算率按100%计算。</w:t>
      </w:r>
    </w:p>
    <w:p>
      <w:pPr>
        <w:pStyle w:val="2"/>
        <w:keepNext w:val="0"/>
        <w:keepLines w:val="0"/>
        <w:widowControl/>
        <w:suppressLineNumbers w:val="0"/>
      </w:pPr>
      <w:r>
        <w:rPr>
          <w:sz w:val="18"/>
          <w:szCs w:val="18"/>
        </w:rPr>
        <w:t>　　第三十九条 会员向客户收取的保证金以及客户融资买入的全部证券和融券卖出所得全部资金,整体作为客户对会员融资融券所生债务的担保物。</w:t>
      </w:r>
    </w:p>
    <w:p>
      <w:pPr>
        <w:pStyle w:val="2"/>
        <w:keepNext w:val="0"/>
        <w:keepLines w:val="0"/>
        <w:widowControl/>
        <w:suppressLineNumbers w:val="0"/>
      </w:pPr>
      <w:r>
        <w:rPr>
          <w:sz w:val="18"/>
          <w:szCs w:val="18"/>
        </w:rPr>
        <w:t>　　第四十条 会员应当对客户提交的担保物进行整体监控,并计算其维持担保比例。维持担保比例是指客户担保物价值与其融资融券债务之间的比例,计算公式为：</w:t>
      </w:r>
    </w:p>
    <w:p>
      <w:pPr>
        <w:pStyle w:val="2"/>
        <w:keepNext w:val="0"/>
        <w:keepLines w:val="0"/>
        <w:widowControl/>
        <w:suppressLineNumbers w:val="0"/>
      </w:pPr>
      <w:r>
        <w:rPr>
          <w:sz w:val="18"/>
          <w:szCs w:val="18"/>
        </w:rPr>
        <w:t>　　维持担保比例=(现金+信用证券账户内证券市值总和)/(融资买入金额+融券卖出证券数量×当前市价+利息及费用总和)</w:t>
      </w:r>
    </w:p>
    <w:p>
      <w:pPr>
        <w:pStyle w:val="2"/>
        <w:keepNext w:val="0"/>
        <w:keepLines w:val="0"/>
        <w:widowControl/>
        <w:suppressLineNumbers w:val="0"/>
      </w:pPr>
      <w:r>
        <w:rPr>
          <w:sz w:val="18"/>
          <w:szCs w:val="18"/>
        </w:rPr>
        <w:t>　　客户信用证券账户内的证券,出现被调出可充抵保证金证券范围、被暂停交易、被实施特别处理等特殊情形或者因权益处理等产生尚未到账的在途证券,会员在计算客户维持担保比例时,可以根据与客户的约定按照公允价格或其他定价方式计算其市值。</w:t>
      </w:r>
    </w:p>
    <w:p>
      <w:pPr>
        <w:pStyle w:val="2"/>
        <w:keepNext w:val="0"/>
        <w:keepLines w:val="0"/>
        <w:widowControl/>
        <w:suppressLineNumbers w:val="0"/>
      </w:pPr>
      <w:r>
        <w:rPr>
          <w:sz w:val="18"/>
          <w:szCs w:val="18"/>
        </w:rPr>
        <w:t>　　第四十一条 客户维持担保比例不得低于130%。</w:t>
      </w:r>
    </w:p>
    <w:p>
      <w:pPr>
        <w:pStyle w:val="2"/>
        <w:keepNext w:val="0"/>
        <w:keepLines w:val="0"/>
        <w:widowControl/>
        <w:suppressLineNumbers w:val="0"/>
      </w:pPr>
      <w:r>
        <w:rPr>
          <w:sz w:val="18"/>
          <w:szCs w:val="18"/>
        </w:rPr>
        <w:t>　　当客户维持担保比例低于130%时,会员应当通知客户在约定的期限内追加担保物。前述期限不得超过2个交易日。</w:t>
      </w:r>
    </w:p>
    <w:p>
      <w:pPr>
        <w:pStyle w:val="2"/>
        <w:keepNext w:val="0"/>
        <w:keepLines w:val="0"/>
        <w:widowControl/>
        <w:suppressLineNumbers w:val="0"/>
      </w:pPr>
      <w:r>
        <w:rPr>
          <w:sz w:val="18"/>
          <w:szCs w:val="18"/>
        </w:rPr>
        <w:t>　　客户追加担保物后的维持担保比例不得低于150%。</w:t>
      </w:r>
    </w:p>
    <w:p>
      <w:pPr>
        <w:pStyle w:val="2"/>
        <w:keepNext w:val="0"/>
        <w:keepLines w:val="0"/>
        <w:widowControl/>
        <w:suppressLineNumbers w:val="0"/>
      </w:pPr>
      <w:r>
        <w:rPr>
          <w:sz w:val="18"/>
          <w:szCs w:val="18"/>
        </w:rPr>
        <w:t>　　第四十二条 维持担保比例超过300%时,客户可以提取保证金可用余额中的现金或充抵保证金的证券,但提取后维持担保比例不得低于300%。本所另有规定的除外。</w:t>
      </w:r>
    </w:p>
    <w:p>
      <w:pPr>
        <w:pStyle w:val="2"/>
        <w:keepNext w:val="0"/>
        <w:keepLines w:val="0"/>
        <w:widowControl/>
        <w:suppressLineNumbers w:val="0"/>
      </w:pPr>
      <w:r>
        <w:rPr>
          <w:sz w:val="18"/>
          <w:szCs w:val="18"/>
        </w:rPr>
        <w:t>　　第四十三条 本所认为必要时,可以调整融资、融券保证金比例及维持担保比例的标准,并向市场公布。</w:t>
      </w:r>
    </w:p>
    <w:p>
      <w:pPr>
        <w:pStyle w:val="2"/>
        <w:keepNext w:val="0"/>
        <w:keepLines w:val="0"/>
        <w:widowControl/>
        <w:suppressLineNumbers w:val="0"/>
      </w:pPr>
      <w:r>
        <w:rPr>
          <w:sz w:val="18"/>
          <w:szCs w:val="18"/>
        </w:rPr>
        <w:t>　　第四十四条 会员公布的融资保证金比例、融券保证金比例及维持担保比例,不得低于本所规定的标准。</w:t>
      </w:r>
    </w:p>
    <w:p>
      <w:pPr>
        <w:pStyle w:val="2"/>
        <w:keepNext w:val="0"/>
        <w:keepLines w:val="0"/>
        <w:widowControl/>
        <w:suppressLineNumbers w:val="0"/>
      </w:pPr>
      <w:r>
        <w:rPr>
          <w:sz w:val="18"/>
          <w:szCs w:val="18"/>
        </w:rPr>
        <w:t>　　第四十五条 投资者不得将已设定担保或其他第三方权利及被采取查封、冻结等司法措施的证券提交为担保物,会员不得向客户借出此类证券。</w:t>
      </w:r>
    </w:p>
    <w:p>
      <w:pPr>
        <w:pStyle w:val="2"/>
        <w:keepNext w:val="0"/>
        <w:keepLines w:val="0"/>
        <w:widowControl/>
        <w:suppressLineNumbers w:val="0"/>
      </w:pPr>
      <w:r>
        <w:rPr>
          <w:sz w:val="18"/>
          <w:szCs w:val="18"/>
        </w:rPr>
        <w:t>　　第五章 信息披露和报告</w:t>
      </w:r>
    </w:p>
    <w:p>
      <w:pPr>
        <w:pStyle w:val="2"/>
        <w:keepNext w:val="0"/>
        <w:keepLines w:val="0"/>
        <w:widowControl/>
        <w:suppressLineNumbers w:val="0"/>
      </w:pPr>
      <w:r>
        <w:rPr>
          <w:sz w:val="18"/>
          <w:szCs w:val="18"/>
        </w:rPr>
        <w:t>　　第四十六条 会员应当于每个交易日22：00前向本所报送当日各标的证券融资买入额、融资还款额、融资余额以及融券卖出量、融券偿还量和融券余量等数据。</w:t>
      </w:r>
    </w:p>
    <w:p>
      <w:pPr>
        <w:pStyle w:val="2"/>
        <w:keepNext w:val="0"/>
        <w:keepLines w:val="0"/>
        <w:widowControl/>
        <w:suppressLineNumbers w:val="0"/>
      </w:pPr>
      <w:r>
        <w:rPr>
          <w:sz w:val="18"/>
          <w:szCs w:val="18"/>
        </w:rPr>
        <w:t>　　会员应当保证所报送数据的真实、准确、完整。</w:t>
      </w:r>
    </w:p>
    <w:p>
      <w:pPr>
        <w:pStyle w:val="2"/>
        <w:keepNext w:val="0"/>
        <w:keepLines w:val="0"/>
        <w:widowControl/>
        <w:suppressLineNumbers w:val="0"/>
      </w:pPr>
      <w:r>
        <w:rPr>
          <w:sz w:val="18"/>
          <w:szCs w:val="18"/>
        </w:rPr>
        <w:t>　　第四十七条 本所在每个交易日开市前,根据会员报送数据,向市场公布以下信息：</w:t>
      </w:r>
    </w:p>
    <w:p>
      <w:pPr>
        <w:pStyle w:val="2"/>
        <w:keepNext w:val="0"/>
        <w:keepLines w:val="0"/>
        <w:widowControl/>
        <w:suppressLineNumbers w:val="0"/>
      </w:pPr>
      <w:r>
        <w:rPr>
          <w:sz w:val="18"/>
          <w:szCs w:val="18"/>
        </w:rPr>
        <w:t>　　(一)前一交易日单只标的证券融资融券交易信息,包括融资买入额、融资余额、融券卖出量、融券余量等信息;</w:t>
      </w:r>
    </w:p>
    <w:p>
      <w:pPr>
        <w:pStyle w:val="2"/>
        <w:keepNext w:val="0"/>
        <w:keepLines w:val="0"/>
        <w:widowControl/>
        <w:suppressLineNumbers w:val="0"/>
      </w:pPr>
      <w:r>
        <w:rPr>
          <w:sz w:val="18"/>
          <w:szCs w:val="18"/>
        </w:rPr>
        <w:t>　　(二)前一交易日市场融资融券交易总量信息。</w:t>
      </w:r>
    </w:p>
    <w:p>
      <w:pPr>
        <w:pStyle w:val="2"/>
        <w:keepNext w:val="0"/>
        <w:keepLines w:val="0"/>
        <w:widowControl/>
        <w:suppressLineNumbers w:val="0"/>
      </w:pPr>
      <w:r>
        <w:rPr>
          <w:sz w:val="18"/>
          <w:szCs w:val="18"/>
        </w:rPr>
        <w:t>　　第四十八条 会员应当在每一月份结束后7个工作日内向本所报告当月融资融券业务开展情况。</w:t>
      </w:r>
    </w:p>
    <w:p>
      <w:pPr>
        <w:pStyle w:val="2"/>
        <w:keepNext w:val="0"/>
        <w:keepLines w:val="0"/>
        <w:widowControl/>
        <w:suppressLineNumbers w:val="0"/>
      </w:pPr>
      <w:r>
        <w:rPr>
          <w:sz w:val="18"/>
          <w:szCs w:val="18"/>
        </w:rPr>
        <w:t>　　第六章 风险控制</w:t>
      </w:r>
    </w:p>
    <w:p>
      <w:pPr>
        <w:pStyle w:val="2"/>
        <w:keepNext w:val="0"/>
        <w:keepLines w:val="0"/>
        <w:widowControl/>
        <w:suppressLineNumbers w:val="0"/>
      </w:pPr>
      <w:r>
        <w:rPr>
          <w:sz w:val="18"/>
          <w:szCs w:val="18"/>
        </w:rPr>
        <w:t>　　第四十九条 单只标的证券的融资余额达到该证券上市可流通市值的25%时,本所可以在次一交易日暂停其融资买入,并向市场公布。</w:t>
      </w:r>
    </w:p>
    <w:p>
      <w:pPr>
        <w:pStyle w:val="2"/>
        <w:keepNext w:val="0"/>
        <w:keepLines w:val="0"/>
        <w:widowControl/>
        <w:suppressLineNumbers w:val="0"/>
      </w:pPr>
      <w:r>
        <w:rPr>
          <w:sz w:val="18"/>
          <w:szCs w:val="18"/>
        </w:rPr>
        <w:t>　　该标的证券的融资余额降低至20%以下时,本所可以在次一交易日恢复其融资买入,并向市场公布。</w:t>
      </w:r>
    </w:p>
    <w:p>
      <w:pPr>
        <w:pStyle w:val="2"/>
        <w:keepNext w:val="0"/>
        <w:keepLines w:val="0"/>
        <w:widowControl/>
        <w:suppressLineNumbers w:val="0"/>
      </w:pPr>
      <w:r>
        <w:rPr>
          <w:sz w:val="18"/>
          <w:szCs w:val="18"/>
        </w:rPr>
        <w:t>　　第五十条 单只标的证券的融券余量达到该证券上市可流通量的25%时,本所可以在次一交易日暂停其融券卖出,并向市场公布。</w:t>
      </w:r>
    </w:p>
    <w:p>
      <w:pPr>
        <w:pStyle w:val="2"/>
        <w:keepNext w:val="0"/>
        <w:keepLines w:val="0"/>
        <w:widowControl/>
        <w:suppressLineNumbers w:val="0"/>
      </w:pPr>
      <w:r>
        <w:rPr>
          <w:sz w:val="18"/>
          <w:szCs w:val="18"/>
        </w:rPr>
        <w:t>　　该标的证券的融券余量降低至20%以下时,本所可以在次一交易日恢复其融券卖出,并向市场公布。</w:t>
      </w:r>
    </w:p>
    <w:p>
      <w:pPr>
        <w:pStyle w:val="2"/>
        <w:keepNext w:val="0"/>
        <w:keepLines w:val="0"/>
        <w:widowControl/>
        <w:suppressLineNumbers w:val="0"/>
      </w:pPr>
      <w:r>
        <w:rPr>
          <w:sz w:val="18"/>
          <w:szCs w:val="18"/>
        </w:rPr>
        <w:t>　　第五十一条 本所对市场融资融券交易进行监控。融资融券交易出现异常时,本所可视情况采取以下措施并向市场公布：</w:t>
      </w:r>
    </w:p>
    <w:p>
      <w:pPr>
        <w:pStyle w:val="2"/>
        <w:keepNext w:val="0"/>
        <w:keepLines w:val="0"/>
        <w:widowControl/>
        <w:suppressLineNumbers w:val="0"/>
      </w:pPr>
      <w:r>
        <w:rPr>
          <w:sz w:val="18"/>
          <w:szCs w:val="18"/>
        </w:rPr>
        <w:t>　　(一)调整标的证券标准或范围;</w:t>
      </w:r>
    </w:p>
    <w:p>
      <w:pPr>
        <w:pStyle w:val="2"/>
        <w:keepNext w:val="0"/>
        <w:keepLines w:val="0"/>
        <w:widowControl/>
        <w:suppressLineNumbers w:val="0"/>
      </w:pPr>
      <w:r>
        <w:rPr>
          <w:sz w:val="18"/>
          <w:szCs w:val="18"/>
        </w:rPr>
        <w:t>　　(二)调整可充抵保证金证券的折算率;</w:t>
      </w:r>
    </w:p>
    <w:p>
      <w:pPr>
        <w:pStyle w:val="2"/>
        <w:keepNext w:val="0"/>
        <w:keepLines w:val="0"/>
        <w:widowControl/>
        <w:suppressLineNumbers w:val="0"/>
      </w:pPr>
      <w:r>
        <w:rPr>
          <w:sz w:val="18"/>
          <w:szCs w:val="18"/>
        </w:rPr>
        <w:t>　　(三)调整融资、融券保证金比例;</w:t>
      </w:r>
    </w:p>
    <w:p>
      <w:pPr>
        <w:pStyle w:val="2"/>
        <w:keepNext w:val="0"/>
        <w:keepLines w:val="0"/>
        <w:widowControl/>
        <w:suppressLineNumbers w:val="0"/>
      </w:pPr>
      <w:r>
        <w:rPr>
          <w:sz w:val="18"/>
          <w:szCs w:val="18"/>
        </w:rPr>
        <w:t>　　(四)调整维持担保比例;</w:t>
      </w:r>
    </w:p>
    <w:p>
      <w:pPr>
        <w:pStyle w:val="2"/>
        <w:keepNext w:val="0"/>
        <w:keepLines w:val="0"/>
        <w:widowControl/>
        <w:suppressLineNumbers w:val="0"/>
      </w:pPr>
      <w:r>
        <w:rPr>
          <w:sz w:val="18"/>
          <w:szCs w:val="18"/>
        </w:rPr>
        <w:t>　　(五)暂停特定标的证券的融资买入或融券卖出交易;</w:t>
      </w:r>
    </w:p>
    <w:p>
      <w:pPr>
        <w:pStyle w:val="2"/>
        <w:keepNext w:val="0"/>
        <w:keepLines w:val="0"/>
        <w:widowControl/>
        <w:suppressLineNumbers w:val="0"/>
      </w:pPr>
      <w:r>
        <w:rPr>
          <w:sz w:val="18"/>
          <w:szCs w:val="18"/>
        </w:rPr>
        <w:t>　　(六)暂停整个市场的融资买入或融券卖出交易;</w:t>
      </w:r>
    </w:p>
    <w:p>
      <w:pPr>
        <w:pStyle w:val="2"/>
        <w:keepNext w:val="0"/>
        <w:keepLines w:val="0"/>
        <w:widowControl/>
        <w:suppressLineNumbers w:val="0"/>
      </w:pPr>
      <w:r>
        <w:rPr>
          <w:sz w:val="18"/>
          <w:szCs w:val="18"/>
        </w:rPr>
        <w:t>　　(七)本所认为必要的其他措施。</w:t>
      </w:r>
    </w:p>
    <w:p>
      <w:pPr>
        <w:pStyle w:val="2"/>
        <w:keepNext w:val="0"/>
        <w:keepLines w:val="0"/>
        <w:widowControl/>
        <w:suppressLineNumbers w:val="0"/>
      </w:pPr>
      <w:r>
        <w:rPr>
          <w:sz w:val="18"/>
          <w:szCs w:val="18"/>
        </w:rPr>
        <w:t>　　第五十二条 融资融券交易存在异常交易行为的,本所可以视情况采取限制相关证券账户交易等措施。</w:t>
      </w:r>
    </w:p>
    <w:p>
      <w:pPr>
        <w:pStyle w:val="2"/>
        <w:keepNext w:val="0"/>
        <w:keepLines w:val="0"/>
        <w:widowControl/>
        <w:suppressLineNumbers w:val="0"/>
      </w:pPr>
      <w:r>
        <w:rPr>
          <w:sz w:val="18"/>
          <w:szCs w:val="18"/>
        </w:rPr>
        <w:t>　　第五十三条 会员应当按照本所的要求,对客户的融资融券交易进行监控,并主动、及时地向本所报告其客户的异常融资融券交易行为。</w:t>
      </w:r>
    </w:p>
    <w:p>
      <w:pPr>
        <w:pStyle w:val="2"/>
        <w:keepNext w:val="0"/>
        <w:keepLines w:val="0"/>
        <w:widowControl/>
        <w:suppressLineNumbers w:val="0"/>
      </w:pPr>
      <w:r>
        <w:rPr>
          <w:sz w:val="18"/>
          <w:szCs w:val="18"/>
        </w:rPr>
        <w:t>　　第五十四条 本所可根据需要,对会员与融资融券业务相关的内部控制制度、业务操作规范、风险管理措施、交易技术系统的安全运行状况及对本所相关业务规则的执行情况等进行检查。</w:t>
      </w:r>
    </w:p>
    <w:p>
      <w:pPr>
        <w:pStyle w:val="2"/>
        <w:keepNext w:val="0"/>
        <w:keepLines w:val="0"/>
        <w:widowControl/>
        <w:suppressLineNumbers w:val="0"/>
      </w:pPr>
      <w:r>
        <w:rPr>
          <w:sz w:val="18"/>
          <w:szCs w:val="18"/>
        </w:rPr>
        <w:t>　　第五十五条 会员违反本细则的,本所可依据有关规定采取相关监管措施及给予处分,并可视情况暂停或取消其在本所进行融资或融券交易的权限。</w:t>
      </w:r>
    </w:p>
    <w:p>
      <w:pPr>
        <w:pStyle w:val="2"/>
        <w:keepNext w:val="0"/>
        <w:keepLines w:val="0"/>
        <w:widowControl/>
        <w:suppressLineNumbers w:val="0"/>
      </w:pPr>
      <w:r>
        <w:rPr>
          <w:sz w:val="18"/>
          <w:szCs w:val="18"/>
        </w:rPr>
        <w:t>　　第七章 其他事项</w:t>
      </w:r>
    </w:p>
    <w:p>
      <w:pPr>
        <w:pStyle w:val="2"/>
        <w:keepNext w:val="0"/>
        <w:keepLines w:val="0"/>
        <w:widowControl/>
        <w:suppressLineNumbers w:val="0"/>
      </w:pPr>
      <w:r>
        <w:rPr>
          <w:sz w:val="18"/>
          <w:szCs w:val="18"/>
        </w:rPr>
        <w:t>　　第五十六条 会员通过客户信用交易担保证券账户持有的股票不计入其自有股票,会员无须因该账户内股票数量的变动而履行相应的信息报告、披露或者要约收购义务。</w:t>
      </w:r>
    </w:p>
    <w:p>
      <w:pPr>
        <w:pStyle w:val="2"/>
        <w:keepNext w:val="0"/>
        <w:keepLines w:val="0"/>
        <w:widowControl/>
        <w:suppressLineNumbers w:val="0"/>
      </w:pPr>
      <w:r>
        <w:rPr>
          <w:sz w:val="18"/>
          <w:szCs w:val="18"/>
        </w:rPr>
        <w:t>　　投资者及其一致行动人通过普通证券账户和信用证券账户合计持有一家上市公司股票及其权益的数量或者其增减变动达到规定的比例时,应当依法履行相应的信息报告、披露或者要约收购义务。</w:t>
      </w:r>
    </w:p>
    <w:p>
      <w:pPr>
        <w:pStyle w:val="2"/>
        <w:keepNext w:val="0"/>
        <w:keepLines w:val="0"/>
        <w:widowControl/>
        <w:suppressLineNumbers w:val="0"/>
      </w:pPr>
      <w:r>
        <w:rPr>
          <w:sz w:val="18"/>
          <w:szCs w:val="18"/>
        </w:rPr>
        <w:t>　　第五十七条 客户信用交易担保证券账户记录的证券,由会员以自己的名义,为客户的利益,行使对发行人的权利。会员行使对发行人的权利,应当事先征求客户的意见,并按照其意见办理。客户未表示意见的,会员不得主动行使对发行人的权利。</w:t>
      </w:r>
    </w:p>
    <w:p>
      <w:pPr>
        <w:pStyle w:val="2"/>
        <w:keepNext w:val="0"/>
        <w:keepLines w:val="0"/>
        <w:widowControl/>
        <w:suppressLineNumbers w:val="0"/>
      </w:pPr>
      <w:r>
        <w:rPr>
          <w:sz w:val="18"/>
          <w:szCs w:val="18"/>
        </w:rPr>
        <w:t>　　前款所称对发行人的权利,是指请求召开证券持有人会议、参加证券持有人会议、提案、表决、配售股份的认购、请求分配投资收益等因持有证券而产生的权利。</w:t>
      </w:r>
    </w:p>
    <w:p>
      <w:pPr>
        <w:pStyle w:val="2"/>
        <w:keepNext w:val="0"/>
        <w:keepLines w:val="0"/>
        <w:widowControl/>
        <w:suppressLineNumbers w:val="0"/>
      </w:pPr>
      <w:r>
        <w:rPr>
          <w:sz w:val="18"/>
          <w:szCs w:val="18"/>
        </w:rPr>
        <w:t>　　第五十八条 会员客户信用交易担保证券账户内证券的分红、派息、配股等权益处理,按照《证券公司融资融券业务管理办法》和本所指定登记结算机构有关规定办理。</w:t>
      </w:r>
    </w:p>
    <w:p>
      <w:pPr>
        <w:pStyle w:val="2"/>
        <w:keepNext w:val="0"/>
        <w:keepLines w:val="0"/>
        <w:widowControl/>
        <w:suppressLineNumbers w:val="0"/>
      </w:pPr>
      <w:r>
        <w:rPr>
          <w:sz w:val="18"/>
          <w:szCs w:val="18"/>
        </w:rPr>
        <w:t>　　第八章 附则</w:t>
      </w:r>
    </w:p>
    <w:p>
      <w:pPr>
        <w:pStyle w:val="2"/>
        <w:keepNext w:val="0"/>
        <w:keepLines w:val="0"/>
        <w:widowControl/>
        <w:suppressLineNumbers w:val="0"/>
      </w:pPr>
      <w:r>
        <w:rPr>
          <w:sz w:val="18"/>
          <w:szCs w:val="18"/>
        </w:rPr>
        <w:t>　　第五十九条 本细则下列用语具有以下含义：</w:t>
      </w:r>
    </w:p>
    <w:p>
      <w:pPr>
        <w:pStyle w:val="2"/>
        <w:keepNext w:val="0"/>
        <w:keepLines w:val="0"/>
        <w:widowControl/>
        <w:suppressLineNumbers w:val="0"/>
      </w:pPr>
      <w:r>
        <w:rPr>
          <w:sz w:val="18"/>
          <w:szCs w:val="18"/>
        </w:rPr>
        <w:t>　　(一)日均换手率,指过去3个月内标的证券或基准指数每日换手率的平均值;</w:t>
      </w:r>
    </w:p>
    <w:p>
      <w:pPr>
        <w:pStyle w:val="2"/>
        <w:keepNext w:val="0"/>
        <w:keepLines w:val="0"/>
        <w:widowControl/>
        <w:suppressLineNumbers w:val="0"/>
      </w:pPr>
      <w:r>
        <w:rPr>
          <w:sz w:val="18"/>
          <w:szCs w:val="18"/>
        </w:rPr>
        <w:t>　　(二)日均涨跌幅,指过去3个月内标的证券或基准指数每日涨跌幅绝对值的平均值;</w:t>
      </w:r>
    </w:p>
    <w:p>
      <w:pPr>
        <w:pStyle w:val="2"/>
        <w:keepNext w:val="0"/>
        <w:keepLines w:val="0"/>
        <w:widowControl/>
        <w:suppressLineNumbers w:val="0"/>
      </w:pPr>
      <w:r>
        <w:rPr>
          <w:sz w:val="18"/>
          <w:szCs w:val="18"/>
        </w:rPr>
        <w:t>　　(三)波动幅度,指过去3个月内标的证券或基准指数最高价与最低价之差对最高价和最低价的平均值之比;</w:t>
      </w:r>
    </w:p>
    <w:p>
      <w:pPr>
        <w:pStyle w:val="2"/>
        <w:keepNext w:val="0"/>
        <w:keepLines w:val="0"/>
        <w:widowControl/>
        <w:suppressLineNumbers w:val="0"/>
      </w:pPr>
      <w:r>
        <w:rPr>
          <w:sz w:val="18"/>
          <w:szCs w:val="18"/>
        </w:rPr>
        <w:t>　　(四)基准指数,指上证综合指数;</w:t>
      </w:r>
    </w:p>
    <w:p>
      <w:pPr>
        <w:pStyle w:val="2"/>
        <w:keepNext w:val="0"/>
        <w:keepLines w:val="0"/>
        <w:widowControl/>
        <w:suppressLineNumbers w:val="0"/>
      </w:pPr>
      <w:r>
        <w:rPr>
          <w:sz w:val="18"/>
          <w:szCs w:val="18"/>
        </w:rPr>
        <w:t>　　(五)异常交易行为,指《上海证券交易所交易规则》规定的异常交易行为。</w:t>
      </w:r>
    </w:p>
    <w:p>
      <w:pPr>
        <w:pStyle w:val="2"/>
        <w:keepNext w:val="0"/>
        <w:keepLines w:val="0"/>
        <w:widowControl/>
        <w:suppressLineNumbers w:val="0"/>
      </w:pPr>
      <w:r>
        <w:rPr>
          <w:sz w:val="18"/>
          <w:szCs w:val="18"/>
        </w:rPr>
        <w:t>　　(六)交易所交易型开放式指数基金的上市可流通市值,是指其当日收盘价与当日清算后的份额的乘积。</w:t>
      </w:r>
    </w:p>
    <w:p>
      <w:pPr>
        <w:pStyle w:val="2"/>
        <w:keepNext w:val="0"/>
        <w:keepLines w:val="0"/>
        <w:widowControl/>
        <w:suppressLineNumbers w:val="0"/>
      </w:pPr>
      <w:r>
        <w:rPr>
          <w:sz w:val="18"/>
          <w:szCs w:val="18"/>
        </w:rPr>
        <w:t>　　第六十条 投资者通过上海普通证券账户持有的深圳市场发行上海市场配售股份划转到深圳普通证券账户后,方可提交作为融资融券交易的担保物。</w:t>
      </w:r>
    </w:p>
    <w:p>
      <w:pPr>
        <w:pStyle w:val="2"/>
        <w:keepNext w:val="0"/>
        <w:keepLines w:val="0"/>
        <w:widowControl/>
        <w:suppressLineNumbers w:val="0"/>
      </w:pPr>
      <w:r>
        <w:rPr>
          <w:sz w:val="18"/>
          <w:szCs w:val="18"/>
        </w:rPr>
        <w:t>　　投资者通过深圳普通证券账户持有的上海市场发行深圳市场配售股份划转到上海普通证券账户后,方可提交作为融资融券交易的担保物。</w:t>
      </w:r>
    </w:p>
    <w:p>
      <w:pPr>
        <w:pStyle w:val="2"/>
        <w:keepNext w:val="0"/>
        <w:keepLines w:val="0"/>
        <w:widowControl/>
        <w:suppressLineNumbers w:val="0"/>
      </w:pPr>
      <w:r>
        <w:rPr>
          <w:sz w:val="18"/>
          <w:szCs w:val="18"/>
        </w:rPr>
        <w:t>　　第六十一条 依照本细则达成的融资融券交易,其清算交收的具体规则,依照本所指定登记结算机构的规定执行。</w:t>
      </w:r>
    </w:p>
    <w:p>
      <w:pPr>
        <w:pStyle w:val="2"/>
        <w:keepNext w:val="0"/>
        <w:keepLines w:val="0"/>
        <w:widowControl/>
        <w:suppressLineNumbers w:val="0"/>
      </w:pPr>
      <w:r>
        <w:rPr>
          <w:sz w:val="18"/>
          <w:szCs w:val="18"/>
        </w:rPr>
        <w:t>　　第六十二条 本细则所称“超过”、“低于”、“少于”不含本数,“以上”、“以下”、“达到”含本数。</w:t>
      </w:r>
    </w:p>
    <w:p>
      <w:pPr>
        <w:pStyle w:val="2"/>
        <w:keepNext w:val="0"/>
        <w:keepLines w:val="0"/>
        <w:widowControl/>
        <w:suppressLineNumbers w:val="0"/>
      </w:pPr>
      <w:r>
        <w:rPr>
          <w:sz w:val="18"/>
          <w:szCs w:val="18"/>
        </w:rPr>
        <w:t>　　第六十三条 本细则由本所负责解释。</w:t>
      </w:r>
    </w:p>
    <w:p>
      <w:pPr>
        <w:pStyle w:val="2"/>
        <w:keepNext w:val="0"/>
        <w:keepLines w:val="0"/>
        <w:widowControl/>
        <w:suppressLineNumbers w:val="0"/>
      </w:pPr>
      <w:r>
        <w:rPr>
          <w:sz w:val="18"/>
          <w:szCs w:val="18"/>
        </w:rPr>
        <w:t>　　第六十四条 本细则自发布之日起实施。</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altName w:val="MT Extra"/>
    <w:panose1 w:val="05050102010706020507"/>
    <w:charset w:val="02"/>
    <w:family w:val="roman"/>
    <w:pitch w:val="default"/>
    <w:sig w:usb0="00000000" w:usb1="00000000" w:usb2="00000000" w:usb3="00000000" w:csb0="80000000" w:csb1="00000000"/>
  </w:font>
  <w:font w:name="Cambria">
    <w:altName w:val="PMingLiU"/>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MT Extra">
    <w:panose1 w:val="05050102010205020202"/>
    <w:charset w:val="00"/>
    <w:family w:val="auto"/>
    <w:pitch w:val="default"/>
    <w:sig w:usb0="80000000" w:usb1="00000000" w:usb2="00000000" w:usb3="00000000" w:csb0="00000000" w:csb1="00000000"/>
  </w:font>
  <w:font w:name="PMingLiU">
    <w:panose1 w:val="02020300000000000000"/>
    <w:charset w:val="88"/>
    <w:family w:val="auto"/>
    <w:pitch w:val="default"/>
    <w:sig w:usb0="00000003" w:usb1="082E0000" w:usb2="00000016" w:usb3="00000000" w:csb0="00100001" w:csb1="00000000"/>
  </w:font>
  <w:font w:name="Lucida Sans Unicode">
    <w:panose1 w:val="020B0602030504020204"/>
    <w:charset w:val="00"/>
    <w:family w:val="auto"/>
    <w:pitch w:val="default"/>
    <w:sig w:usb0="80001AFF" w:usb1="0000396B" w:usb2="00000000" w:usb3="00000000" w:csb0="0000003F" w:csb1="D7F70000"/>
  </w:font>
  <w:font w:name="Lucida Sans Unicode">
    <w:panose1 w:val="020B0602030504020204"/>
    <w:charset w:val="00"/>
    <w:family w:val="swiss"/>
    <w:pitch w:val="default"/>
    <w:sig w:usb0="80001AFF" w:usb1="0000396B" w:usb2="00000000" w:usb3="00000000" w:csb0="0000003F" w:csb1="D7F70000"/>
  </w:font>
  <w:font w:name="微软雅黑">
    <w:altName w:val="黑体"/>
    <w:panose1 w:val="00000000000000000000"/>
    <w:charset w:val="00"/>
    <w:family w:val="auto"/>
    <w:pitch w:val="default"/>
    <w:sig w:usb0="00000000" w:usb1="00000000" w:usb2="00000000" w:usb3="00000000" w:csb0="00000000" w:csb1="00000000"/>
  </w:font>
  <w:font w:name="黑体">
    <w:panose1 w:val="02010600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9F4AEE"/>
    <w:rsid w:val="2330680C"/>
    <w:rsid w:val="609F4AEE"/>
    <w:rsid w:val="6750550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2016-06-24T08:49:00Z</dcterms:created>
  <dc:creator>Administrator</dc:creator>
  <cp:lastModifiedBy>Administrator</cp:lastModifiedBy>
  <dcterms:modified xsi:type="dcterms:W3CDTF">2016-06-24T08:51:38Z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